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AA" w:rsidRPr="00A2411F" w:rsidRDefault="00131097" w:rsidP="00BB731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A2411F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A2411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  </w:t>
      </w:r>
    </w:p>
    <w:p w:rsidR="00910001" w:rsidRPr="00A2411F" w:rsidRDefault="00910001" w:rsidP="00BB7312">
      <w:pPr>
        <w:tabs>
          <w:tab w:val="left" w:pos="284"/>
          <w:tab w:val="left" w:pos="1134"/>
        </w:tabs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  <w:cs/>
        </w:rPr>
        <w:tab/>
      </w:r>
      <w:r w:rsidRPr="00A2411F">
        <w:rPr>
          <w:rFonts w:ascii="TH SarabunPSK" w:hAnsi="TH SarabunPSK" w:cs="TH SarabunPSK"/>
          <w:sz w:val="32"/>
          <w:szCs w:val="32"/>
          <w:cs/>
        </w:rPr>
        <w:tab/>
        <w:t>1</w:t>
      </w:r>
      <w:r w:rsidRPr="00A2411F">
        <w:rPr>
          <w:rFonts w:ascii="TH SarabunPSK" w:hAnsi="TH SarabunPSK" w:cs="TH SarabunPSK"/>
          <w:sz w:val="32"/>
          <w:szCs w:val="32"/>
        </w:rPr>
        <w:t xml:space="preserve">. 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รายงานและบันทึกอุบัติการณ์ การเกิดอาการไม่พึงประสงค์จากการใช้ยา </w:t>
      </w:r>
    </w:p>
    <w:p w:rsidR="00910001" w:rsidRPr="00A2411F" w:rsidRDefault="00910001" w:rsidP="00BB7312">
      <w:pPr>
        <w:tabs>
          <w:tab w:val="left" w:pos="284"/>
          <w:tab w:val="left" w:pos="1134"/>
        </w:tabs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  <w:cs/>
        </w:rPr>
        <w:tab/>
      </w:r>
      <w:r w:rsidRPr="00A2411F">
        <w:rPr>
          <w:rFonts w:ascii="TH SarabunPSK" w:hAnsi="TH SarabunPSK" w:cs="TH SarabunPSK"/>
          <w:sz w:val="32"/>
          <w:szCs w:val="32"/>
          <w:cs/>
        </w:rPr>
        <w:tab/>
      </w:r>
      <w:r w:rsidRPr="00A2411F">
        <w:rPr>
          <w:rFonts w:ascii="TH SarabunPSK" w:hAnsi="TH SarabunPSK" w:cs="TH SarabunPSK"/>
          <w:sz w:val="32"/>
          <w:szCs w:val="32"/>
        </w:rPr>
        <w:t xml:space="preserve">2.  </w:t>
      </w:r>
      <w:r w:rsidRPr="00A2411F">
        <w:rPr>
          <w:rFonts w:ascii="TH SarabunPSK" w:hAnsi="TH SarabunPSK" w:cs="TH SarabunPSK"/>
          <w:sz w:val="32"/>
          <w:szCs w:val="32"/>
          <w:cs/>
        </w:rPr>
        <w:t>การเฝ้าระวังอาการไม่พึงประสงค์จากการใช้ยาและป้องกันการแพ้ยาซ้ำ</w:t>
      </w:r>
    </w:p>
    <w:p w:rsidR="00910001" w:rsidRPr="00A2411F" w:rsidRDefault="00910001" w:rsidP="00BB7312">
      <w:pPr>
        <w:tabs>
          <w:tab w:val="left" w:pos="284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A2411F">
        <w:rPr>
          <w:rFonts w:ascii="TH SarabunPSK" w:hAnsi="TH SarabunPSK" w:cs="TH SarabunPSK"/>
          <w:sz w:val="32"/>
          <w:szCs w:val="32"/>
          <w:cs/>
        </w:rPr>
        <w:t>การป้องกันการเกิดอาการไม่พึงประสงค์จากการใช้ยาที่รุนแรง :</w:t>
      </w:r>
      <w:proofErr w:type="gramEnd"/>
      <w:r w:rsidRPr="00A2411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2411F">
        <w:rPr>
          <w:rFonts w:ascii="TH SarabunPSK" w:hAnsi="TH SarabunPSK" w:cs="TH SarabunPSK"/>
          <w:sz w:val="32"/>
          <w:szCs w:val="32"/>
        </w:rPr>
        <w:t>Stevens Johnson Syndrome (SJS)</w:t>
      </w:r>
      <w:r w:rsidRPr="00A2411F">
        <w:rPr>
          <w:rFonts w:ascii="TH SarabunPSK" w:hAnsi="TH SarabunPSK" w:cs="TH SarabunPSK"/>
        </w:rPr>
        <w:t xml:space="preserve">, </w:t>
      </w:r>
      <w:r w:rsidRPr="00A2411F">
        <w:rPr>
          <w:rFonts w:ascii="TH SarabunPSK" w:hAnsi="TH SarabunPSK" w:cs="TH SarabunPSK"/>
          <w:sz w:val="32"/>
          <w:szCs w:val="32"/>
        </w:rPr>
        <w:t xml:space="preserve">Toxic Epidermal </w:t>
      </w:r>
      <w:proofErr w:type="spellStart"/>
      <w:r w:rsidRPr="00A2411F">
        <w:rPr>
          <w:rFonts w:ascii="TH SarabunPSK" w:hAnsi="TH SarabunPSK" w:cs="TH SarabunPSK"/>
          <w:sz w:val="32"/>
          <w:szCs w:val="32"/>
        </w:rPr>
        <w:t>Necrolysis</w:t>
      </w:r>
      <w:proofErr w:type="spellEnd"/>
      <w:r w:rsidRPr="00A2411F">
        <w:rPr>
          <w:rFonts w:ascii="TH SarabunPSK" w:hAnsi="TH SarabunPSK" w:cs="TH SarabunPSK"/>
          <w:sz w:val="32"/>
          <w:szCs w:val="32"/>
        </w:rPr>
        <w:t xml:space="preserve"> (TEN)</w:t>
      </w:r>
    </w:p>
    <w:p w:rsidR="000949E1" w:rsidRPr="00A2411F" w:rsidRDefault="00C34FAA" w:rsidP="00BB7312">
      <w:pPr>
        <w:tabs>
          <w:tab w:val="left" w:pos="284"/>
        </w:tabs>
        <w:spacing w:before="240"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2411F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949E1" w:rsidRPr="00A2411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131097" w:rsidRPr="00A2411F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นิยาม </w:t>
      </w:r>
    </w:p>
    <w:p w:rsidR="000949E1" w:rsidRPr="00A2411F" w:rsidRDefault="000949E1" w:rsidP="00BB7312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</w:r>
      <w:r w:rsidR="00910001" w:rsidRPr="00A2411F">
        <w:rPr>
          <w:rFonts w:ascii="TH SarabunPSK" w:hAnsi="TH SarabunPSK" w:cs="TH SarabunPSK"/>
          <w:sz w:val="32"/>
          <w:szCs w:val="32"/>
        </w:rPr>
        <w:t xml:space="preserve">1.  </w:t>
      </w:r>
      <w:r w:rsidR="00910001" w:rsidRPr="00A2411F">
        <w:rPr>
          <w:rFonts w:ascii="TH SarabunPSK" w:hAnsi="TH SarabunPSK" w:cs="TH SarabunPSK"/>
          <w:sz w:val="32"/>
          <w:szCs w:val="32"/>
          <w:cs/>
        </w:rPr>
        <w:t>เหตุการณ์ไม่พึงประสงค์ (</w:t>
      </w:r>
      <w:r w:rsidR="00910001" w:rsidRPr="00A2411F">
        <w:rPr>
          <w:rFonts w:ascii="TH SarabunPSK" w:hAnsi="TH SarabunPSK" w:cs="TH SarabunPSK"/>
          <w:sz w:val="32"/>
          <w:szCs w:val="32"/>
        </w:rPr>
        <w:t xml:space="preserve">Adverse </w:t>
      </w:r>
      <w:proofErr w:type="gramStart"/>
      <w:r w:rsidR="00910001" w:rsidRPr="00A2411F">
        <w:rPr>
          <w:rFonts w:ascii="TH SarabunPSK" w:hAnsi="TH SarabunPSK" w:cs="TH SarabunPSK"/>
          <w:sz w:val="32"/>
          <w:szCs w:val="32"/>
        </w:rPr>
        <w:t>Event :</w:t>
      </w:r>
      <w:proofErr w:type="gramEnd"/>
      <w:r w:rsidR="00910001" w:rsidRPr="00A2411F">
        <w:rPr>
          <w:rFonts w:ascii="TH SarabunPSK" w:hAnsi="TH SarabunPSK" w:cs="TH SarabunPSK"/>
          <w:sz w:val="32"/>
          <w:szCs w:val="32"/>
        </w:rPr>
        <w:t xml:space="preserve"> AE)  </w:t>
      </w:r>
      <w:r w:rsidR="00910001" w:rsidRPr="00A2411F">
        <w:rPr>
          <w:rFonts w:ascii="TH SarabunPSK" w:hAnsi="TH SarabunPSK" w:cs="TH SarabunPSK"/>
          <w:sz w:val="32"/>
          <w:szCs w:val="32"/>
          <w:cs/>
        </w:rPr>
        <w:t>หมายถึง  อาการหรือผลที่เกิดซึ่งเป็นอันตราย ต่อร่างกายของมนุษย์เมื่อใช้ผลิตภัณฑ์สุขภาพ ไม่ว่าจะเกิดจากการใช้ยาเกินขนาด โดยจงใจหรืออุบัติเหตุ การใช้ในทางที่ผิด ความบกพร่องของผลิตภัณฑ์สุขภาพหรือการหยุดใช้ผลิตภัณฑ์สุขภาพ โดยอาจสัมพันธ์กับการใช้ผลิตภัณฑ์สุขภาพนั้นหรือไม่ก็ตาม ทั้งนี้รวมไปถึงอาการไม่พึงประสงค์จากการใช้ยา (</w:t>
      </w:r>
      <w:r w:rsidR="00910001" w:rsidRPr="00A2411F">
        <w:rPr>
          <w:rFonts w:ascii="TH SarabunPSK" w:hAnsi="TH SarabunPSK" w:cs="TH SarabunPSK"/>
          <w:sz w:val="32"/>
          <w:szCs w:val="32"/>
        </w:rPr>
        <w:t>Adverse Drug Reaction : ADR)</w:t>
      </w:r>
    </w:p>
    <w:p w:rsidR="00910001" w:rsidRPr="00A2411F" w:rsidRDefault="00910001" w:rsidP="00BB7312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b/>
          <w:bCs/>
          <w:sz w:val="32"/>
          <w:szCs w:val="32"/>
        </w:rPr>
        <w:tab/>
      </w:r>
      <w:r w:rsidRPr="00A2411F">
        <w:rPr>
          <w:rFonts w:ascii="TH SarabunPSK" w:hAnsi="TH SarabunPSK" w:cs="TH SarabunPSK"/>
          <w:sz w:val="32"/>
          <w:szCs w:val="32"/>
        </w:rPr>
        <w:t xml:space="preserve">2. </w:t>
      </w:r>
      <w:r w:rsidR="00F57AD6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อาการไม่พึงประสงค์จากการใช้ยา  (</w:t>
      </w:r>
      <w:r w:rsidRPr="00A2411F">
        <w:rPr>
          <w:rFonts w:ascii="TH SarabunPSK" w:hAnsi="TH SarabunPSK" w:cs="TH SarabunPSK"/>
          <w:sz w:val="32"/>
          <w:szCs w:val="32"/>
        </w:rPr>
        <w:t xml:space="preserve">Adverse Drug Reaction : ADR) 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หมายถึง  ปฏิกิริยาที่เกิดขึ้นโดย ไม่ได้ตั้งใจ  และเป็นอันตรายต่อร่างกายของมนุษย์  เกิดขึ้นเมื่อใช้ยาในขนาดปกติ  เพื่อป้องกัน วินิจฉัย  บำบัดรักษาโรค  หรือเปลี่ยนแปลงแก้ไขการทำงานของร่างกาย  โดยไม่รวมปฏิกิริยาที่เกิดจากการใช้ยาในทางที่ผิด  อุบัติเหตุ  หรือจงใจใช้ยาเกินขนาด และผิดวิธี </w:t>
      </w:r>
    </w:p>
    <w:p w:rsidR="00F57AD6" w:rsidRPr="00A2411F" w:rsidRDefault="00910001" w:rsidP="00BB7312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  <w:cs/>
        </w:rPr>
        <w:tab/>
      </w:r>
      <w:r w:rsidRPr="00A2411F">
        <w:rPr>
          <w:rFonts w:ascii="TH SarabunPSK" w:hAnsi="TH SarabunPSK" w:cs="TH SarabunPSK"/>
          <w:sz w:val="32"/>
          <w:szCs w:val="32"/>
        </w:rPr>
        <w:t xml:space="preserve">3. </w:t>
      </w:r>
      <w:r w:rsidR="00F57AD6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A2411F">
        <w:rPr>
          <w:rFonts w:ascii="TH SarabunPSK" w:hAnsi="TH SarabunPSK" w:cs="TH SarabunPSK"/>
          <w:sz w:val="32"/>
          <w:szCs w:val="32"/>
          <w:cs/>
        </w:rPr>
        <w:t xml:space="preserve">การแพ้ยา </w:t>
      </w:r>
      <w:r w:rsidR="00F57AD6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(</w:t>
      </w:r>
      <w:proofErr w:type="gramEnd"/>
      <w:r w:rsidRPr="00A2411F">
        <w:rPr>
          <w:rFonts w:ascii="TH SarabunPSK" w:hAnsi="TH SarabunPSK" w:cs="TH SarabunPSK"/>
          <w:sz w:val="32"/>
          <w:szCs w:val="32"/>
        </w:rPr>
        <w:t xml:space="preserve">Drug allergy) 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F57AD6" w:rsidRPr="00A2411F">
        <w:rPr>
          <w:rFonts w:ascii="TH SarabunPSK" w:hAnsi="TH SarabunPSK" w:cs="TH SarabunPSK"/>
          <w:sz w:val="32"/>
          <w:szCs w:val="32"/>
          <w:cs/>
        </w:rPr>
        <w:t>ปฏิกิริยาที่</w:t>
      </w:r>
      <w:r w:rsidRPr="00A2411F">
        <w:rPr>
          <w:rFonts w:ascii="TH SarabunPSK" w:hAnsi="TH SarabunPSK" w:cs="TH SarabunPSK"/>
          <w:sz w:val="32"/>
          <w:szCs w:val="32"/>
          <w:cs/>
        </w:rPr>
        <w:t>เกิดจาก</w:t>
      </w:r>
      <w:r w:rsidR="00F57AD6" w:rsidRPr="00A2411F">
        <w:rPr>
          <w:rFonts w:ascii="TH SarabunPSK" w:hAnsi="TH SarabunPSK" w:cs="TH SarabunPSK"/>
          <w:sz w:val="32"/>
          <w:szCs w:val="32"/>
          <w:cs/>
        </w:rPr>
        <w:t>ภูมิคุ้มกันของร่างกายต่อต้านยาที่</w:t>
      </w:r>
      <w:r w:rsidRPr="00A2411F">
        <w:rPr>
          <w:rFonts w:ascii="TH SarabunPSK" w:hAnsi="TH SarabunPSK" w:cs="TH SarabunPSK"/>
          <w:sz w:val="32"/>
          <w:szCs w:val="32"/>
          <w:cs/>
        </w:rPr>
        <w:t>ได้รับเข้าไป</w:t>
      </w:r>
    </w:p>
    <w:p w:rsidR="00063F8B" w:rsidRPr="00A2411F" w:rsidRDefault="00F57AD6" w:rsidP="00BB7312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</w:r>
      <w:r w:rsidR="008B2817" w:rsidRPr="00A2411F">
        <w:rPr>
          <w:rFonts w:ascii="TH SarabunPSK" w:hAnsi="TH SarabunPSK" w:cs="TH SarabunPSK"/>
          <w:sz w:val="32"/>
          <w:szCs w:val="32"/>
        </w:rPr>
        <w:t xml:space="preserve">4.  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>การแพ้ยาซ้ำ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411F">
        <w:rPr>
          <w:rFonts w:ascii="TH SarabunPSK" w:hAnsi="TH SarabunPSK" w:cs="TH SarabunPSK"/>
          <w:sz w:val="32"/>
          <w:szCs w:val="32"/>
        </w:rPr>
        <w:t xml:space="preserve">Repeated ADR type B) 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proofErr w:type="gramStart"/>
      <w:r w:rsidR="004242F8" w:rsidRPr="00A2411F">
        <w:rPr>
          <w:rFonts w:ascii="TH SarabunPSK" w:hAnsi="TH SarabunPSK" w:cs="TH SarabunPSK"/>
          <w:sz w:val="32"/>
          <w:szCs w:val="32"/>
          <w:cs/>
        </w:rPr>
        <w:t>เหตุการณ์ที่ผู้ป่วยได้รับการบริหารยาทั้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งโดยตนเอง 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ผู้ดูแล</w:t>
      </w:r>
      <w:proofErr w:type="gramEnd"/>
      <w:r w:rsidR="004242F8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หรือจากบุคลากรทาง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>การแพทย์แล้วเกิดอาการแพ้ยา โดยที่ผู้ป่</w:t>
      </w:r>
      <w:r w:rsidRPr="00A2411F">
        <w:rPr>
          <w:rFonts w:ascii="TH SarabunPSK" w:hAnsi="TH SarabunPSK" w:cs="TH SarabunPSK"/>
          <w:sz w:val="32"/>
          <w:szCs w:val="32"/>
          <w:cs/>
        </w:rPr>
        <w:t>วย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>เคยเกิดอาการแพ้ยาดังกล่าวจากยาที่มีชื่อสามัญทางยาเดียวกันมาก่อนทั้งที่</w:t>
      </w:r>
      <w:r w:rsidRPr="00A2411F">
        <w:rPr>
          <w:rFonts w:ascii="TH SarabunPSK" w:hAnsi="TH SarabunPSK" w:cs="TH SarabunPSK"/>
          <w:sz w:val="32"/>
          <w:szCs w:val="32"/>
          <w:cs/>
        </w:rPr>
        <w:t>เคยมีประวัติและไม่มีประวัติการบันทึกในเวชระเบียนหรือเอกสารของโรงพยาบาล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 xml:space="preserve">  ยกเว้นการตั้งใจให้ยาซ้ำของบุคลากรทางการแพทย์เพื่อประโยชน์ในการรักษา หรือข้อบ่งชี้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ทางการแพทย์ </w:t>
      </w:r>
      <w:r w:rsidR="004242F8" w:rsidRPr="00A2411F">
        <w:rPr>
          <w:rFonts w:ascii="TH SarabunPSK" w:hAnsi="TH SarabunPSK" w:cs="TH SarabunPSK"/>
          <w:sz w:val="32"/>
          <w:szCs w:val="32"/>
          <w:cs/>
        </w:rPr>
        <w:t xml:space="preserve"> หรือกรณีที่ผู้ป่วยตั้งใจใช้ยาซ้ำ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ด้วยตนเอง </w:t>
      </w:r>
    </w:p>
    <w:p w:rsidR="004242F8" w:rsidRPr="00A2411F" w:rsidRDefault="004242F8" w:rsidP="00BB7312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  <w:t xml:space="preserve">5.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การแพ้ยาในกลุ่มเดียวกัน </w:t>
      </w:r>
      <w:proofErr w:type="gramStart"/>
      <w:r w:rsidRPr="00A2411F">
        <w:rPr>
          <w:rFonts w:ascii="TH SarabunPSK" w:hAnsi="TH SarabunPSK" w:cs="TH SarabunPSK"/>
          <w:sz w:val="32"/>
          <w:szCs w:val="32"/>
          <w:cs/>
        </w:rPr>
        <w:t>หมายถึง  เหตุการณ์ที่ผู้ป่วยได้รับการบริหารยาทั้งโดยตนเอง</w:t>
      </w:r>
      <w:proofErr w:type="gramEnd"/>
      <w:r w:rsidRPr="00A2411F">
        <w:rPr>
          <w:rFonts w:ascii="TH SarabunPSK" w:hAnsi="TH SarabunPSK" w:cs="TH SarabunPSK"/>
          <w:sz w:val="32"/>
          <w:szCs w:val="32"/>
          <w:cs/>
        </w:rPr>
        <w:t xml:space="preserve">  ผู้ดูแลหรือจากบุคลากรทางการแพทย์แล้วเกิดอาการแพ้ยาในลักษณะเดิมที่</w:t>
      </w:r>
      <w:r w:rsidR="00A41084" w:rsidRPr="00A2411F">
        <w:rPr>
          <w:rFonts w:ascii="TH SarabunPSK" w:hAnsi="TH SarabunPSK" w:cs="TH SarabunPSK"/>
          <w:sz w:val="32"/>
          <w:szCs w:val="32"/>
          <w:cs/>
        </w:rPr>
        <w:t>เคยแพ้มาก่อน จากยาที่</w:t>
      </w:r>
      <w:r w:rsidRPr="00A2411F">
        <w:rPr>
          <w:rFonts w:ascii="TH SarabunPSK" w:hAnsi="TH SarabunPSK" w:cs="TH SarabunPSK"/>
          <w:sz w:val="32"/>
          <w:szCs w:val="32"/>
          <w:cs/>
        </w:rPr>
        <w:t>มีสูตรโครงสร้าง</w:t>
      </w:r>
      <w:r w:rsidR="00A41084" w:rsidRPr="00A2411F">
        <w:rPr>
          <w:rFonts w:ascii="TH SarabunPSK" w:hAnsi="TH SarabunPSK" w:cs="TH SarabunPSK"/>
          <w:sz w:val="32"/>
          <w:szCs w:val="32"/>
          <w:cs/>
        </w:rPr>
        <w:t>ทางเคมีคล้ายคลึงกันทั้งที่</w:t>
      </w:r>
      <w:r w:rsidRPr="00A2411F">
        <w:rPr>
          <w:rFonts w:ascii="TH SarabunPSK" w:hAnsi="TH SarabunPSK" w:cs="TH SarabunPSK"/>
          <w:sz w:val="32"/>
          <w:szCs w:val="32"/>
          <w:cs/>
        </w:rPr>
        <w:t>เคยมีประวัติและไม่มีประวัติการบันทึกในเวชระเบียนหรือเอกสารของโรงพยาบาล</w:t>
      </w:r>
    </w:p>
    <w:p w:rsidR="00C82D5B" w:rsidRPr="00A2411F" w:rsidRDefault="00BB7312" w:rsidP="00BB7312">
      <w:pPr>
        <w:tabs>
          <w:tab w:val="left" w:pos="851"/>
          <w:tab w:val="left" w:pos="1134"/>
        </w:tabs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131097" w:rsidRPr="00A2411F">
        <w:rPr>
          <w:rFonts w:ascii="TH SarabunPSK" w:hAnsi="TH SarabunPSK" w:cs="TH SarabunPSK"/>
          <w:b/>
          <w:bCs/>
          <w:sz w:val="32"/>
          <w:szCs w:val="32"/>
          <w:cs/>
        </w:rPr>
        <w:t xml:space="preserve">. ขั้นตอนการปฏิบัติงาน </w:t>
      </w:r>
      <w:r w:rsidR="00063F8B" w:rsidRPr="00A2411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</w:t>
      </w:r>
    </w:p>
    <w:p w:rsidR="009377EF" w:rsidRPr="00A2411F" w:rsidRDefault="009C4E0E" w:rsidP="00BB7312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1.  </w:t>
      </w:r>
      <w:r w:rsidR="008A27E3" w:rsidRPr="00A2411F">
        <w:rPr>
          <w:rFonts w:ascii="TH SarabunPSK" w:hAnsi="TH SarabunPSK" w:cs="TH SarabunPSK"/>
          <w:sz w:val="32"/>
          <w:szCs w:val="32"/>
          <w:cs/>
        </w:rPr>
        <w:t xml:space="preserve">การรายงาน </w:t>
      </w:r>
      <w:r w:rsidR="008A27E3" w:rsidRPr="00A2411F">
        <w:rPr>
          <w:rFonts w:ascii="TH SarabunPSK" w:hAnsi="TH SarabunPSK" w:cs="TH SarabunPSK"/>
          <w:sz w:val="32"/>
          <w:szCs w:val="32"/>
        </w:rPr>
        <w:t xml:space="preserve">ADR </w:t>
      </w:r>
      <w:r w:rsidR="00A737C5" w:rsidRPr="00A2411F">
        <w:rPr>
          <w:rFonts w:ascii="TH SarabunPSK" w:hAnsi="TH SarabunPSK" w:cs="TH SarabunPSK"/>
          <w:sz w:val="32"/>
          <w:szCs w:val="32"/>
          <w:cs/>
        </w:rPr>
        <w:t>ให้ปฏิบัติ</w:t>
      </w:r>
      <w:r w:rsidR="008A27E3" w:rsidRPr="00A2411F">
        <w:rPr>
          <w:rFonts w:ascii="TH SarabunPSK" w:hAnsi="TH SarabunPSK" w:cs="TH SarabunPSK"/>
          <w:sz w:val="32"/>
          <w:szCs w:val="32"/>
          <w:cs/>
        </w:rPr>
        <w:t xml:space="preserve">ตามระบบ </w:t>
      </w:r>
      <w:r w:rsidR="008A27E3" w:rsidRPr="00A2411F">
        <w:rPr>
          <w:rFonts w:ascii="TH SarabunPSK" w:hAnsi="TH SarabunPSK" w:cs="TH SarabunPSK"/>
          <w:sz w:val="32"/>
          <w:szCs w:val="32"/>
        </w:rPr>
        <w:t xml:space="preserve">Spontaneous Reporting System </w:t>
      </w:r>
    </w:p>
    <w:p w:rsidR="00C73115" w:rsidRPr="00A2411F" w:rsidRDefault="008A27E3" w:rsidP="007A7E16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2. 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การป้องกันการแพ้ยาซ้ำ </w:t>
      </w:r>
      <w:r w:rsidR="00BB7312" w:rsidRPr="00A2411F">
        <w:rPr>
          <w:rFonts w:ascii="TH SarabunPSK" w:hAnsi="TH SarabunPSK" w:cs="TH SarabunPSK"/>
          <w:sz w:val="32"/>
          <w:szCs w:val="32"/>
          <w:cs/>
        </w:rPr>
        <w:t xml:space="preserve">ใช้การบันทึกในโปรแกรม </w:t>
      </w:r>
      <w:proofErr w:type="gramStart"/>
      <w:r w:rsidR="00BB7312" w:rsidRPr="00A2411F">
        <w:rPr>
          <w:rFonts w:ascii="TH SarabunPSK" w:hAnsi="TH SarabunPSK" w:cs="TH SarabunPSK"/>
          <w:sz w:val="32"/>
          <w:szCs w:val="32"/>
        </w:rPr>
        <w:t xml:space="preserve">J </w:t>
      </w:r>
      <w:r w:rsidR="00BB7312" w:rsidRPr="00A2411F">
        <w:rPr>
          <w:rFonts w:ascii="TH SarabunPSK" w:hAnsi="TH SarabunPSK" w:cs="TH SarabunPSK"/>
          <w:sz w:val="32"/>
          <w:szCs w:val="32"/>
          <w:cs/>
        </w:rPr>
        <w:t xml:space="preserve"> การ</w:t>
      </w:r>
      <w:r w:rsidRPr="00A2411F">
        <w:rPr>
          <w:rFonts w:ascii="TH SarabunPSK" w:hAnsi="TH SarabunPSK" w:cs="TH SarabunPSK"/>
          <w:sz w:val="32"/>
          <w:szCs w:val="32"/>
          <w:cs/>
        </w:rPr>
        <w:t>บันทึก</w:t>
      </w:r>
      <w:r w:rsidR="00BB7312" w:rsidRPr="00A2411F">
        <w:rPr>
          <w:rFonts w:ascii="TH SarabunPSK" w:hAnsi="TH SarabunPSK" w:cs="TH SarabunPSK"/>
          <w:sz w:val="32"/>
          <w:szCs w:val="32"/>
          <w:cs/>
        </w:rPr>
        <w:t>และ</w:t>
      </w:r>
      <w:r w:rsidRPr="00A2411F">
        <w:rPr>
          <w:rFonts w:ascii="TH SarabunPSK" w:hAnsi="TH SarabunPSK" w:cs="TH SarabunPSK"/>
          <w:sz w:val="32"/>
          <w:szCs w:val="32"/>
          <w:cs/>
        </w:rPr>
        <w:t>การติดสติ๊กเกอร์แพ้ยาสี</w:t>
      </w:r>
      <w:r w:rsidR="00BB7312" w:rsidRPr="00A2411F">
        <w:rPr>
          <w:rFonts w:ascii="TH SarabunPSK" w:hAnsi="TH SarabunPSK" w:cs="TH SarabunPSK"/>
          <w:sz w:val="32"/>
          <w:szCs w:val="32"/>
          <w:cs/>
        </w:rPr>
        <w:t>บน</w:t>
      </w:r>
      <w:proofErr w:type="gramEnd"/>
      <w:r w:rsidR="00BB7312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7312" w:rsidRPr="00A2411F">
        <w:rPr>
          <w:rFonts w:ascii="TH SarabunPSK" w:hAnsi="TH SarabunPSK" w:cs="TH SarabunPSK"/>
          <w:sz w:val="32"/>
          <w:szCs w:val="32"/>
        </w:rPr>
        <w:t>family  folder</w:t>
      </w:r>
      <w:r w:rsidRPr="00A2411F">
        <w:rPr>
          <w:rFonts w:ascii="TH SarabunPSK" w:hAnsi="TH SarabunPSK" w:cs="TH SarabunPSK"/>
          <w:sz w:val="32"/>
          <w:szCs w:val="32"/>
        </w:rPr>
        <w:t xml:space="preserve">  </w:t>
      </w:r>
      <w:r w:rsidRPr="00A2411F">
        <w:rPr>
          <w:rFonts w:ascii="TH SarabunPSK" w:hAnsi="TH SarabunPSK" w:cs="TH SarabunPSK"/>
          <w:sz w:val="32"/>
          <w:szCs w:val="32"/>
          <w:cs/>
        </w:rPr>
        <w:t>การให้บัตรแพ้ยา เป็นการแจ้งเตือนและป้องกันการแพ้ยาซ้ำ  ซึ่งข้อมูลที่ได้มาจากการเฝ้าระวังตามระบบรายงาน</w:t>
      </w:r>
    </w:p>
    <w:p w:rsidR="008A27E3" w:rsidRPr="00A2411F" w:rsidRDefault="008A27E3" w:rsidP="00BB7312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3. </w:t>
      </w:r>
      <w:proofErr w:type="gramStart"/>
      <w:r w:rsidR="00C73115" w:rsidRPr="00A2411F">
        <w:rPr>
          <w:rFonts w:ascii="TH SarabunPSK" w:hAnsi="TH SarabunPSK" w:cs="TH SarabunPSK"/>
          <w:sz w:val="32"/>
          <w:szCs w:val="32"/>
          <w:cs/>
        </w:rPr>
        <w:t>การเฝ้า</w:t>
      </w:r>
      <w:r w:rsidRPr="00A2411F">
        <w:rPr>
          <w:rFonts w:ascii="TH SarabunPSK" w:hAnsi="TH SarabunPSK" w:cs="TH SarabunPSK"/>
          <w:sz w:val="32"/>
          <w:szCs w:val="32"/>
          <w:cs/>
        </w:rPr>
        <w:t>ระวังตามระบบ</w:t>
      </w:r>
      <w:r w:rsidR="00A737C5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</w:rPr>
        <w:t>Intensive</w:t>
      </w:r>
      <w:proofErr w:type="gramEnd"/>
      <w:r w:rsidRPr="00A2411F">
        <w:rPr>
          <w:rFonts w:ascii="TH SarabunPSK" w:hAnsi="TH SarabunPSK" w:cs="TH SarabunPSK"/>
          <w:sz w:val="32"/>
          <w:szCs w:val="32"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C73115" w:rsidRPr="00A2411F" w:rsidRDefault="00C73115" w:rsidP="00BB7312">
      <w:pPr>
        <w:tabs>
          <w:tab w:val="left" w:pos="1418"/>
          <w:tab w:val="left" w:pos="1843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A2411F">
        <w:rPr>
          <w:rFonts w:ascii="TH SarabunPSK" w:hAnsi="TH SarabunPSK" w:cs="TH SarabunPSK"/>
          <w:sz w:val="32"/>
          <w:szCs w:val="32"/>
        </w:rPr>
        <w:t xml:space="preserve">3.1  </w:t>
      </w:r>
      <w:r w:rsidRPr="00A2411F">
        <w:rPr>
          <w:rFonts w:ascii="TH SarabunPSK" w:hAnsi="TH SarabunPSK" w:cs="TH SarabunPSK"/>
          <w:sz w:val="32"/>
          <w:szCs w:val="32"/>
          <w:cs/>
        </w:rPr>
        <w:t>การเฝ้าระวังการแพ้ยาที่รุนแรง</w:t>
      </w:r>
      <w:proofErr w:type="gramEnd"/>
      <w:r w:rsidRPr="00A2411F">
        <w:rPr>
          <w:rFonts w:ascii="TH SarabunPSK" w:hAnsi="TH SarabunPSK" w:cs="TH SarabunPSK"/>
          <w:sz w:val="32"/>
          <w:szCs w:val="32"/>
          <w:cs/>
        </w:rPr>
        <w:t xml:space="preserve"> ได้แก่  </w:t>
      </w:r>
      <w:r w:rsidRPr="00A2411F">
        <w:rPr>
          <w:rFonts w:ascii="TH SarabunPSK" w:hAnsi="TH SarabunPSK" w:cs="TH SarabunPSK"/>
          <w:sz w:val="32"/>
          <w:szCs w:val="32"/>
        </w:rPr>
        <w:t xml:space="preserve">SJS, TEN  </w:t>
      </w:r>
      <w:r w:rsidRPr="00A2411F">
        <w:rPr>
          <w:rFonts w:ascii="TH SarabunPSK" w:hAnsi="TH SarabunPSK" w:cs="TH SarabunPSK"/>
          <w:sz w:val="32"/>
          <w:szCs w:val="32"/>
          <w:cs/>
        </w:rPr>
        <w:t>เป็นการเฝ้าระวังยาตามรายการดังนี้</w:t>
      </w:r>
      <w:r w:rsidRPr="00A2411F">
        <w:rPr>
          <w:rFonts w:ascii="TH SarabunPSK" w:hAnsi="TH SarabunPSK" w:cs="TH SarabunPSK"/>
          <w:sz w:val="32"/>
          <w:szCs w:val="32"/>
        </w:rPr>
        <w:t xml:space="preserve">allopurinol, carbamazepine, phenobarbital, phenytoin, </w:t>
      </w:r>
      <w:proofErr w:type="spellStart"/>
      <w:r w:rsidRPr="00A2411F">
        <w:rPr>
          <w:rFonts w:ascii="TH SarabunPSK" w:hAnsi="TH SarabunPSK" w:cs="TH SarabunPSK"/>
          <w:sz w:val="32"/>
          <w:szCs w:val="32"/>
        </w:rPr>
        <w:t>nevirapine</w:t>
      </w:r>
      <w:proofErr w:type="spellEnd"/>
      <w:r w:rsidRPr="00A2411F">
        <w:rPr>
          <w:rFonts w:ascii="TH SarabunPSK" w:hAnsi="TH SarabunPSK" w:cs="TH SarabunPSK"/>
          <w:sz w:val="32"/>
          <w:szCs w:val="32"/>
        </w:rPr>
        <w:t xml:space="preserve"> containing products, co-</w:t>
      </w:r>
      <w:proofErr w:type="spellStart"/>
      <w:r w:rsidRPr="00A2411F">
        <w:rPr>
          <w:rFonts w:ascii="TH SarabunPSK" w:hAnsi="TH SarabunPSK" w:cs="TH SarabunPSK"/>
          <w:sz w:val="32"/>
          <w:szCs w:val="32"/>
        </w:rPr>
        <w:t>trimoxazole</w:t>
      </w:r>
      <w:proofErr w:type="spellEnd"/>
      <w:r w:rsidRPr="00A2411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A2411F">
        <w:rPr>
          <w:rFonts w:ascii="TH SarabunPSK" w:hAnsi="TH SarabunPSK" w:cs="TH SarabunPSK"/>
          <w:sz w:val="32"/>
          <w:szCs w:val="32"/>
        </w:rPr>
        <w:t>sulfamethoxazol</w:t>
      </w:r>
      <w:proofErr w:type="spellEnd"/>
      <w:r w:rsidRPr="00A2411F">
        <w:rPr>
          <w:rFonts w:ascii="TH SarabunPSK" w:hAnsi="TH SarabunPSK" w:cs="TH SarabunPSK"/>
        </w:rPr>
        <w:t xml:space="preserve">, </w:t>
      </w:r>
      <w:r w:rsidRPr="00A2411F">
        <w:rPr>
          <w:rFonts w:ascii="TH SarabunPSK" w:hAnsi="TH SarabunPSK" w:cs="TH SarabunPSK"/>
          <w:sz w:val="32"/>
          <w:szCs w:val="32"/>
        </w:rPr>
        <w:t xml:space="preserve">rifampicin, </w:t>
      </w:r>
      <w:proofErr w:type="spellStart"/>
      <w:r w:rsidRPr="00A2411F">
        <w:rPr>
          <w:rFonts w:ascii="TH SarabunPSK" w:hAnsi="TH SarabunPSK" w:cs="TH SarabunPSK"/>
          <w:sz w:val="32"/>
          <w:szCs w:val="32"/>
        </w:rPr>
        <w:t>Dapsone</w:t>
      </w:r>
      <w:proofErr w:type="spellEnd"/>
      <w:r w:rsidRPr="00A2411F">
        <w:rPr>
          <w:rFonts w:ascii="TH SarabunPSK" w:hAnsi="TH SarabunPSK" w:cs="TH SarabunPSK"/>
          <w:sz w:val="32"/>
          <w:szCs w:val="32"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โดยเภสัชกรจะให้แนะนำในครั้งแรกที่ผู้ป่วยได้รับยา</w:t>
      </w:r>
    </w:p>
    <w:p w:rsidR="00C73115" w:rsidRDefault="00C73115" w:rsidP="00BB7312">
      <w:pPr>
        <w:tabs>
          <w:tab w:val="left" w:pos="1418"/>
          <w:tab w:val="left" w:pos="1843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A2411F">
        <w:rPr>
          <w:rFonts w:ascii="TH SarabunPSK" w:hAnsi="TH SarabunPSK" w:cs="TH SarabunPSK"/>
          <w:sz w:val="32"/>
          <w:szCs w:val="32"/>
        </w:rPr>
        <w:t xml:space="preserve">3.2  </w:t>
      </w:r>
      <w:r w:rsidRPr="00A2411F">
        <w:rPr>
          <w:rFonts w:ascii="TH SarabunPSK" w:hAnsi="TH SarabunPSK" w:cs="TH SarabunPSK"/>
          <w:sz w:val="32"/>
          <w:szCs w:val="32"/>
          <w:cs/>
        </w:rPr>
        <w:t>การเฝ้าระวังการใช้ยาในผู้ป่วย</w:t>
      </w:r>
      <w:proofErr w:type="gramEnd"/>
      <w:r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</w:rPr>
        <w:t>G-6-P-D</w:t>
      </w:r>
    </w:p>
    <w:p w:rsidR="00A2411F" w:rsidRDefault="00A2411F" w:rsidP="00BB7312">
      <w:pPr>
        <w:tabs>
          <w:tab w:val="left" w:pos="1418"/>
          <w:tab w:val="left" w:pos="1843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A2411F" w:rsidRPr="00A2411F" w:rsidRDefault="00A2411F" w:rsidP="00BB7312">
      <w:pPr>
        <w:tabs>
          <w:tab w:val="left" w:pos="1418"/>
          <w:tab w:val="left" w:pos="1843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A737C5" w:rsidRPr="00A2411F" w:rsidRDefault="00BB7312" w:rsidP="00BB7312">
      <w:pPr>
        <w:tabs>
          <w:tab w:val="left" w:pos="1134"/>
          <w:tab w:val="left" w:pos="1418"/>
          <w:tab w:val="left" w:pos="1843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>4</w:t>
      </w:r>
      <w:r w:rsidR="00A737C5" w:rsidRPr="00A2411F">
        <w:rPr>
          <w:rFonts w:ascii="TH SarabunPSK" w:hAnsi="TH SarabunPSK" w:cs="TH SarabunPSK"/>
          <w:sz w:val="32"/>
          <w:szCs w:val="32"/>
        </w:rPr>
        <w:t xml:space="preserve">. </w:t>
      </w:r>
      <w:r w:rsidR="00A737C5" w:rsidRPr="00A2411F">
        <w:rPr>
          <w:rFonts w:ascii="TH SarabunPSK" w:hAnsi="TH SarabunPSK" w:cs="TH SarabunPSK"/>
          <w:sz w:val="32"/>
          <w:szCs w:val="32"/>
          <w:cs/>
        </w:rPr>
        <w:t xml:space="preserve">อาการไม่พึงประสงค์จากการใช้ยาชนิด </w:t>
      </w:r>
      <w:r w:rsidR="00A737C5" w:rsidRPr="00A2411F">
        <w:rPr>
          <w:rFonts w:ascii="TH SarabunPSK" w:hAnsi="TH SarabunPSK" w:cs="TH SarabunPSK"/>
          <w:sz w:val="32"/>
          <w:szCs w:val="32"/>
        </w:rPr>
        <w:t xml:space="preserve">Type </w:t>
      </w:r>
      <w:proofErr w:type="gramStart"/>
      <w:r w:rsidR="00A737C5" w:rsidRPr="00A2411F">
        <w:rPr>
          <w:rFonts w:ascii="TH SarabunPSK" w:hAnsi="TH SarabunPSK" w:cs="TH SarabunPSK"/>
          <w:sz w:val="32"/>
          <w:szCs w:val="32"/>
        </w:rPr>
        <w:t xml:space="preserve">A  </w:t>
      </w:r>
      <w:r w:rsidR="00A737C5" w:rsidRPr="00A2411F">
        <w:rPr>
          <w:rFonts w:ascii="TH SarabunPSK" w:hAnsi="TH SarabunPSK" w:cs="TH SarabunPSK"/>
          <w:sz w:val="32"/>
          <w:szCs w:val="32"/>
          <w:cs/>
        </w:rPr>
        <w:t>และ</w:t>
      </w:r>
      <w:proofErr w:type="gramEnd"/>
      <w:r w:rsidR="00A737C5" w:rsidRPr="00A241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37C5" w:rsidRPr="00A2411F">
        <w:rPr>
          <w:rFonts w:ascii="TH SarabunPSK" w:hAnsi="TH SarabunPSK" w:cs="TH SarabunPSK"/>
          <w:sz w:val="32"/>
          <w:szCs w:val="32"/>
        </w:rPr>
        <w:t>Type B</w:t>
      </w:r>
    </w:p>
    <w:p w:rsidR="00A737C5" w:rsidRPr="00A2411F" w:rsidRDefault="00A737C5" w:rsidP="00BB7312">
      <w:pPr>
        <w:tabs>
          <w:tab w:val="left" w:pos="1134"/>
          <w:tab w:val="left" w:pos="1418"/>
          <w:tab w:val="left" w:pos="1843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</w:r>
      <w:r w:rsidRPr="00A2411F">
        <w:rPr>
          <w:rFonts w:ascii="TH SarabunPSK" w:hAnsi="TH SarabunPSK" w:cs="TH SarabunPSK"/>
          <w:sz w:val="32"/>
          <w:szCs w:val="32"/>
        </w:rPr>
        <w:tab/>
      </w:r>
      <w:r w:rsidR="00BB7312" w:rsidRPr="00A2411F">
        <w:rPr>
          <w:rFonts w:ascii="TH SarabunPSK" w:hAnsi="TH SarabunPSK" w:cs="TH SarabunPSK"/>
          <w:sz w:val="32"/>
          <w:szCs w:val="32"/>
        </w:rPr>
        <w:t>4</w:t>
      </w:r>
      <w:r w:rsidRPr="00A2411F">
        <w:rPr>
          <w:rFonts w:ascii="TH SarabunPSK" w:hAnsi="TH SarabunPSK" w:cs="TH SarabunPSK"/>
          <w:sz w:val="32"/>
          <w:szCs w:val="32"/>
        </w:rPr>
        <w:t xml:space="preserve">.1   Type A (Augmented) ADR </w:t>
      </w:r>
      <w:r w:rsidR="00947913" w:rsidRPr="00A2411F">
        <w:rPr>
          <w:rFonts w:ascii="TH SarabunPSK" w:hAnsi="TH SarabunPSK" w:cs="TH SarabunPSK"/>
          <w:sz w:val="32"/>
          <w:szCs w:val="32"/>
          <w:cs/>
        </w:rPr>
        <w:t>เป็นผลจากสัมฤทธิ์</w:t>
      </w:r>
      <w:r w:rsidRPr="00A2411F">
        <w:rPr>
          <w:rFonts w:ascii="TH SarabunPSK" w:hAnsi="TH SarabunPSK" w:cs="TH SarabunPSK"/>
          <w:sz w:val="32"/>
          <w:szCs w:val="32"/>
          <w:cs/>
        </w:rPr>
        <w:t>เภสัชวิทยาขอ</w:t>
      </w:r>
      <w:r w:rsidR="00947913" w:rsidRPr="00A2411F">
        <w:rPr>
          <w:rFonts w:ascii="TH SarabunPSK" w:hAnsi="TH SarabunPSK" w:cs="TH SarabunPSK"/>
          <w:sz w:val="32"/>
          <w:szCs w:val="32"/>
          <w:cs/>
        </w:rPr>
        <w:t>งยาหรือเมตา</w:t>
      </w:r>
      <w:proofErr w:type="spellStart"/>
      <w:r w:rsidR="00947913" w:rsidRPr="00A2411F">
        <w:rPr>
          <w:rFonts w:ascii="TH SarabunPSK" w:hAnsi="TH SarabunPSK" w:cs="TH SarabunPSK"/>
          <w:sz w:val="32"/>
          <w:szCs w:val="32"/>
          <w:cs/>
        </w:rPr>
        <w:t>บอไลท์</w:t>
      </w:r>
      <w:proofErr w:type="spellEnd"/>
      <w:r w:rsidR="00947913" w:rsidRPr="00A2411F">
        <w:rPr>
          <w:rFonts w:ascii="TH SarabunPSK" w:hAnsi="TH SarabunPSK" w:cs="TH SarabunPSK"/>
          <w:sz w:val="32"/>
          <w:szCs w:val="32"/>
          <w:cs/>
        </w:rPr>
        <w:t>ของยา  สามารถทำนายได้จากสัมฤทธิ์ทางเภสัชวิทยา ไม่มีความจำ</w:t>
      </w:r>
      <w:r w:rsidRPr="00A2411F">
        <w:rPr>
          <w:rFonts w:ascii="TH SarabunPSK" w:hAnsi="TH SarabunPSK" w:cs="TH SarabunPSK"/>
          <w:sz w:val="32"/>
          <w:szCs w:val="32"/>
          <w:cs/>
        </w:rPr>
        <w:t>เพาะในการเกิดกับคนบ</w:t>
      </w:r>
      <w:r w:rsidR="0011313A" w:rsidRPr="00A2411F">
        <w:rPr>
          <w:rFonts w:ascii="TH SarabunPSK" w:hAnsi="TH SarabunPSK" w:cs="TH SarabunPSK"/>
          <w:sz w:val="32"/>
          <w:szCs w:val="32"/>
          <w:cs/>
        </w:rPr>
        <w:t>างกลุ่ม  ความรุนแรงของอาการที่เกิดมี</w:t>
      </w:r>
      <w:r w:rsidRPr="00A2411F">
        <w:rPr>
          <w:rFonts w:ascii="TH SarabunPSK" w:hAnsi="TH SarabunPSK" w:cs="TH SarabunPSK"/>
          <w:sz w:val="32"/>
          <w:szCs w:val="32"/>
          <w:cs/>
        </w:rPr>
        <w:t>ความส</w:t>
      </w:r>
      <w:r w:rsidR="0011313A" w:rsidRPr="00A2411F">
        <w:rPr>
          <w:rFonts w:ascii="TH SarabunPSK" w:hAnsi="TH SarabunPSK" w:cs="TH SarabunPSK"/>
          <w:sz w:val="32"/>
          <w:szCs w:val="32"/>
          <w:cs/>
        </w:rPr>
        <w:t>ัมพันธ์กับขนาดของยา ส่วนใหญ่พบตั้งแต่ขั้</w:t>
      </w:r>
      <w:r w:rsidRPr="00A2411F">
        <w:rPr>
          <w:rFonts w:ascii="TH SarabunPSK" w:hAnsi="TH SarabunPSK" w:cs="TH SarabunPSK"/>
          <w:sz w:val="32"/>
          <w:szCs w:val="32"/>
          <w:cs/>
        </w:rPr>
        <w:t>นตอนการทดลองยาในสัตว์</w:t>
      </w:r>
      <w:r w:rsidR="0011313A" w:rsidRPr="00A2411F">
        <w:rPr>
          <w:rFonts w:ascii="TH SarabunPSK" w:hAnsi="TH SarabunPSK" w:cs="TH SarabunPSK"/>
          <w:sz w:val="32"/>
          <w:szCs w:val="32"/>
          <w:cs/>
        </w:rPr>
        <w:t xml:space="preserve">  มีอุบัติการณ์การเกิดสูงแ</w:t>
      </w:r>
      <w:r w:rsidRPr="00A2411F">
        <w:rPr>
          <w:rFonts w:ascii="TH SarabunPSK" w:hAnsi="TH SarabunPSK" w:cs="TH SarabunPSK"/>
          <w:sz w:val="32"/>
          <w:szCs w:val="32"/>
          <w:cs/>
        </w:rPr>
        <w:t>ต่</w:t>
      </w:r>
      <w:r w:rsidR="0011313A" w:rsidRPr="00A2411F">
        <w:rPr>
          <w:rFonts w:ascii="TH SarabunPSK" w:hAnsi="TH SarabunPSK" w:cs="TH SarabunPSK"/>
          <w:sz w:val="32"/>
          <w:szCs w:val="32"/>
          <w:cs/>
        </w:rPr>
        <w:t xml:space="preserve">มีอัตราการ เสียชีวิตน้อย  </w:t>
      </w:r>
      <w:r w:rsidRPr="00A2411F">
        <w:rPr>
          <w:rFonts w:ascii="TH SarabunPSK" w:hAnsi="TH SarabunPSK" w:cs="TH SarabunPSK"/>
          <w:sz w:val="32"/>
          <w:szCs w:val="32"/>
          <w:cs/>
        </w:rPr>
        <w:t>รักษาได้โดยการลดขนาดยา  ลักษณะของ</w:t>
      </w:r>
      <w:r w:rsidR="0011313A" w:rsidRPr="00A2411F">
        <w:rPr>
          <w:rFonts w:ascii="TH SarabunPSK" w:hAnsi="TH SarabunPSK" w:cs="TH SarabunPSK"/>
          <w:sz w:val="32"/>
          <w:szCs w:val="32"/>
        </w:rPr>
        <w:t xml:space="preserve">  </w:t>
      </w:r>
      <w:r w:rsidRPr="00A2411F">
        <w:rPr>
          <w:rFonts w:ascii="TH SarabunPSK" w:hAnsi="TH SarabunPSK" w:cs="TH SarabunPSK"/>
          <w:sz w:val="32"/>
          <w:szCs w:val="32"/>
        </w:rPr>
        <w:t xml:space="preserve">Type A ADR  </w:t>
      </w:r>
      <w:r w:rsidR="0011313A" w:rsidRPr="00A2411F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11313A" w:rsidRPr="00A2411F" w:rsidRDefault="0011313A" w:rsidP="00BB7312">
      <w:pPr>
        <w:pStyle w:val="a4"/>
        <w:numPr>
          <w:ilvl w:val="0"/>
          <w:numId w:val="7"/>
        </w:num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ind w:left="2410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Toxicity of overdose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เป็นพิษจากการได้รับยาเกินขนาด เช่น ตับวาย จากการได้รับ </w:t>
      </w:r>
      <w:proofErr w:type="spellStart"/>
      <w:r w:rsidRPr="00A2411F">
        <w:rPr>
          <w:rFonts w:ascii="TH SarabunPSK" w:hAnsi="TH SarabunPSK" w:cs="TH SarabunPSK"/>
          <w:sz w:val="32"/>
          <w:szCs w:val="32"/>
        </w:rPr>
        <w:t>Paracetamol</w:t>
      </w:r>
      <w:proofErr w:type="spellEnd"/>
      <w:r w:rsidRPr="00A2411F">
        <w:rPr>
          <w:rFonts w:ascii="TH SarabunPSK" w:hAnsi="TH SarabunPSK" w:cs="TH SarabunPSK"/>
          <w:sz w:val="32"/>
          <w:szCs w:val="32"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  <w:cs/>
        </w:rPr>
        <w:t>ขนาดสูง</w:t>
      </w:r>
    </w:p>
    <w:p w:rsidR="0011313A" w:rsidRPr="00A2411F" w:rsidRDefault="0011313A" w:rsidP="00BB7312">
      <w:pPr>
        <w:pStyle w:val="a4"/>
        <w:numPr>
          <w:ilvl w:val="0"/>
          <w:numId w:val="7"/>
        </w:num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ind w:left="2410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Side effect </w:t>
      </w:r>
      <w:r w:rsidRPr="00A2411F">
        <w:rPr>
          <w:rFonts w:ascii="TH SarabunPSK" w:hAnsi="TH SarabunPSK" w:cs="TH SarabunPSK"/>
          <w:sz w:val="32"/>
          <w:szCs w:val="32"/>
          <w:cs/>
        </w:rPr>
        <w:t>เป็นผลข้างเคียงจากฤทธิ์ทางเภสัชวิทยาของยา  เช่น ง่วงนอนจากยากลุ่ม</w:t>
      </w:r>
      <w:r w:rsidRPr="00A2411F">
        <w:rPr>
          <w:rFonts w:ascii="TH SarabunPSK" w:hAnsi="TH SarabunPSK" w:cs="TH SarabunPSK"/>
        </w:rPr>
        <w:t xml:space="preserve"> </w:t>
      </w:r>
      <w:r w:rsidRPr="00A2411F">
        <w:rPr>
          <w:rFonts w:ascii="TH SarabunPSK" w:hAnsi="TH SarabunPSK" w:cs="TH SarabunPSK"/>
          <w:sz w:val="32"/>
          <w:szCs w:val="32"/>
        </w:rPr>
        <w:t xml:space="preserve">Benzodiazepine </w:t>
      </w:r>
    </w:p>
    <w:p w:rsidR="0011313A" w:rsidRPr="00A2411F" w:rsidRDefault="0011313A" w:rsidP="00BB7312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spacing w:after="0" w:line="240" w:lineRule="auto"/>
        <w:ind w:left="2410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 xml:space="preserve">Drug interaction 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เป็นผลจากปฏิกิริยาต่อกันของยาแล้วทำให้เกิดอาการไม่พึงประสงค์ เช่น อาการชักจากพิษ  </w:t>
      </w:r>
      <w:r w:rsidRPr="00A2411F">
        <w:rPr>
          <w:rFonts w:ascii="TH SarabunPSK" w:hAnsi="TH SarabunPSK" w:cs="TH SarabunPSK"/>
          <w:sz w:val="32"/>
          <w:szCs w:val="32"/>
        </w:rPr>
        <w:t xml:space="preserve">Theophylline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เมื่อใช้ร่วมกับ  </w:t>
      </w:r>
      <w:r w:rsidRPr="00A2411F">
        <w:rPr>
          <w:rFonts w:ascii="TH SarabunPSK" w:hAnsi="TH SarabunPSK" w:cs="TH SarabunPSK"/>
          <w:sz w:val="32"/>
          <w:szCs w:val="32"/>
        </w:rPr>
        <w:t>Erythromycin</w:t>
      </w:r>
    </w:p>
    <w:p w:rsidR="00A1455E" w:rsidRPr="00A2411F" w:rsidRDefault="0011313A" w:rsidP="00BB7312">
      <w:p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2411F">
        <w:rPr>
          <w:rFonts w:ascii="TH SarabunPSK" w:hAnsi="TH SarabunPSK" w:cs="TH SarabunPSK"/>
          <w:sz w:val="32"/>
          <w:szCs w:val="32"/>
        </w:rPr>
        <w:tab/>
      </w:r>
      <w:r w:rsidRPr="00A2411F">
        <w:rPr>
          <w:rFonts w:ascii="TH SarabunPSK" w:hAnsi="TH SarabunPSK" w:cs="TH SarabunPSK"/>
          <w:sz w:val="32"/>
          <w:szCs w:val="32"/>
        </w:rPr>
        <w:tab/>
        <w:t xml:space="preserve">5.2  Type B (Bizarre)  ADR  </w:t>
      </w:r>
      <w:r w:rsidRPr="00A2411F">
        <w:rPr>
          <w:rFonts w:ascii="TH SarabunPSK" w:hAnsi="TH SarabunPSK" w:cs="TH SarabunPSK"/>
          <w:sz w:val="32"/>
          <w:szCs w:val="32"/>
          <w:cs/>
        </w:rPr>
        <w:t>เป็นปฏิกิริยาตอบสนองเฉพาะสำหรับบางคน  จะเกิดขึ้นกับ</w:t>
      </w:r>
      <w:r w:rsidR="004873C4" w:rsidRPr="00A2411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2411F">
        <w:rPr>
          <w:rFonts w:ascii="TH SarabunPSK" w:hAnsi="TH SarabunPSK" w:cs="TH SarabunPSK"/>
          <w:sz w:val="32"/>
          <w:szCs w:val="32"/>
          <w:cs/>
        </w:rPr>
        <w:t xml:space="preserve">ผู้ที่มีความไวต่อยา นั้น  ผลที่เกิดขึ้นไม่สัมพันธ์กับฤทธิ์ทางเภสัชวิทยาตามปกติของยา  ไม่สามารถทำนายอาการที่เกิดขึ้นด้วยฤทธิ์ทาง เภสัชวิทยา  ความรุนแรงของอาการที่เกิดไม่สัมพันธ์กับขนาดยา  ได้รับยาเพียงเล็กน้อยก็อาจเกิดอันตรายถึงชีวิต  ไม่สามารถสังเกตพบจากขั้นตอนการตรวจสอบความเป็นพิษของยาในการทดลองยาในสัตว์ทดลอง  มีอุบัติการณ์การเกิดต่ำ  แต่ทำให้เสียชีวิตได้สูง  การรักษาทำโดยการหยุดใช้ยา  </w:t>
      </w:r>
    </w:p>
    <w:p w:rsidR="00A1455E" w:rsidRPr="00A2411F" w:rsidRDefault="00A1455E" w:rsidP="00BB7312">
      <w:p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A1455E" w:rsidRPr="00A2411F" w:rsidRDefault="00A1455E" w:rsidP="00BB7312">
      <w:p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sectPr w:rsidR="00A1455E" w:rsidRPr="00A2411F" w:rsidSect="00BB7312">
      <w:headerReference w:type="default" r:id="rId8"/>
      <w:footerReference w:type="default" r:id="rId9"/>
      <w:pgSz w:w="11906" w:h="16838"/>
      <w:pgMar w:top="1588" w:right="1440" w:bottom="1021" w:left="1440" w:header="720" w:footer="1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86C" w:rsidRDefault="0068286C" w:rsidP="00640A15">
      <w:pPr>
        <w:spacing w:after="0" w:line="240" w:lineRule="auto"/>
      </w:pPr>
      <w:r>
        <w:separator/>
      </w:r>
    </w:p>
  </w:endnote>
  <w:endnote w:type="continuationSeparator" w:id="0">
    <w:p w:rsidR="0068286C" w:rsidRDefault="0068286C" w:rsidP="0064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15" w:rsidRPr="00BB7312" w:rsidRDefault="00BB7312" w:rsidP="00BB7312">
    <w:pPr>
      <w:pStyle w:val="a9"/>
      <w:pBdr>
        <w:top w:val="thinThickSmallGap" w:sz="24" w:space="1" w:color="622423" w:themeColor="accent2" w:themeShade="7F"/>
      </w:pBdr>
      <w:jc w:val="right"/>
      <w:rPr>
        <w:rFonts w:ascii="AngsanaUPC" w:eastAsiaTheme="majorEastAsia" w:hAnsi="AngsanaUPC" w:cs="AngsanaUPC"/>
      </w:rPr>
    </w:pPr>
    <w:r w:rsidRPr="00BB7312">
      <w:rPr>
        <w:rFonts w:ascii="AngsanaUPC" w:eastAsiaTheme="majorEastAsia" w:hAnsi="AngsanaUPC" w:cs="AngsanaUPC"/>
        <w:cs/>
      </w:rPr>
      <w:t>ระบบยา  เครือข่ายบริการสุขภาพอำเภอ</w:t>
    </w:r>
    <w:r w:rsidR="007A7E16">
      <w:rPr>
        <w:rFonts w:ascii="AngsanaUPC" w:eastAsiaTheme="majorEastAsia" w:hAnsi="AngsanaUPC" w:cs="AngsanaUPC" w:hint="cs"/>
        <w:cs/>
      </w:rPr>
      <w:t>ปากพนัง</w:t>
    </w:r>
    <w:r w:rsidRPr="00BB7312">
      <w:rPr>
        <w:rFonts w:ascii="AngsanaUPC" w:eastAsiaTheme="majorEastAsia" w:hAnsi="AngsanaUPC" w:cs="AngsanaUPC"/>
        <w:cs/>
      </w:rPr>
      <w:t xml:space="preserve"> (ปีงบประมาณ </w:t>
    </w:r>
    <w:r w:rsidR="007A7E16">
      <w:rPr>
        <w:rFonts w:ascii="AngsanaUPC" w:eastAsiaTheme="majorEastAsia" w:hAnsi="AngsanaUPC" w:cs="AngsanaUPC"/>
      </w:rPr>
      <w:t>256</w:t>
    </w:r>
    <w:r w:rsidR="009C7FB0">
      <w:rPr>
        <w:rFonts w:ascii="AngsanaUPC" w:eastAsiaTheme="majorEastAsia" w:hAnsi="AngsanaUPC" w:cs="AngsanaUPC" w:hint="cs"/>
        <w:cs/>
      </w:rPr>
      <w:t>3</w:t>
    </w:r>
    <w:r w:rsidRPr="00BB7312">
      <w:rPr>
        <w:rFonts w:ascii="AngsanaUPC" w:eastAsiaTheme="majorEastAsia" w:hAnsi="AngsanaUPC" w:cs="AngsanaUPC"/>
      </w:rPr>
      <w:t>)</w:t>
    </w:r>
  </w:p>
  <w:p w:rsidR="00640A15" w:rsidRPr="00BB7312" w:rsidRDefault="00640A15">
    <w:pPr>
      <w:pStyle w:val="a9"/>
      <w:rPr>
        <w:rFonts w:ascii="AngsanaUPC" w:hAnsi="AngsanaUPC" w:cs="AngsanaUPC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86C" w:rsidRDefault="0068286C" w:rsidP="00640A15">
      <w:pPr>
        <w:spacing w:after="0" w:line="240" w:lineRule="auto"/>
      </w:pPr>
      <w:r>
        <w:separator/>
      </w:r>
    </w:p>
  </w:footnote>
  <w:footnote w:type="continuationSeparator" w:id="0">
    <w:p w:rsidR="0068286C" w:rsidRDefault="0068286C" w:rsidP="0064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40"/>
        <w:szCs w:val="40"/>
      </w:rPr>
      <w:alias w:val="ชื่อเรื่อง"/>
      <w:id w:val="321010679"/>
      <w:placeholder>
        <w:docPart w:val="268ADB29A7B74B27AD2DB2E3FABFF4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40A15" w:rsidRDefault="00F023B4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>
          <w:rPr>
            <w:rFonts w:asciiTheme="majorHAnsi" w:eastAsiaTheme="majorEastAsia" w:hAnsiTheme="majorHAnsi" w:cstheme="majorBidi" w:hint="cs"/>
            <w:sz w:val="40"/>
            <w:szCs w:val="40"/>
            <w:cs/>
          </w:rPr>
          <w:t>การ</w:t>
        </w:r>
        <w:r w:rsidR="00910001">
          <w:rPr>
            <w:rFonts w:asciiTheme="majorHAnsi" w:eastAsiaTheme="majorEastAsia" w:hAnsiTheme="majorHAnsi" w:cstheme="majorBidi" w:hint="cs"/>
            <w:sz w:val="40"/>
            <w:szCs w:val="40"/>
            <w:cs/>
          </w:rPr>
          <w:t>ติดตามอาการไม่พึงประสงค์จากการใช้ยา</w:t>
        </w:r>
      </w:p>
    </w:sdtContent>
  </w:sdt>
  <w:p w:rsidR="00640A15" w:rsidRDefault="00640A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6ACB"/>
    <w:multiLevelType w:val="multilevel"/>
    <w:tmpl w:val="63007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440"/>
      </w:pPr>
      <w:rPr>
        <w:rFonts w:hint="default"/>
      </w:rPr>
    </w:lvl>
  </w:abstractNum>
  <w:abstractNum w:abstractNumId="1">
    <w:nsid w:val="13206E4B"/>
    <w:multiLevelType w:val="hybridMultilevel"/>
    <w:tmpl w:val="1EFAD182"/>
    <w:lvl w:ilvl="0" w:tplc="61928156">
      <w:numFmt w:val="bullet"/>
      <w:lvlText w:val="-"/>
      <w:lvlJc w:val="left"/>
      <w:pPr>
        <w:ind w:left="18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3C44CC7"/>
    <w:multiLevelType w:val="hybridMultilevel"/>
    <w:tmpl w:val="601475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AF76EC1"/>
    <w:multiLevelType w:val="hybridMultilevel"/>
    <w:tmpl w:val="715A1188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>
    <w:nsid w:val="661D33F7"/>
    <w:multiLevelType w:val="hybridMultilevel"/>
    <w:tmpl w:val="9F46C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445B1"/>
    <w:multiLevelType w:val="hybridMultilevel"/>
    <w:tmpl w:val="42DA0408"/>
    <w:lvl w:ilvl="0" w:tplc="61928156">
      <w:numFmt w:val="bullet"/>
      <w:lvlText w:val="-"/>
      <w:lvlJc w:val="left"/>
      <w:pPr>
        <w:ind w:left="32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99E7E87"/>
    <w:multiLevelType w:val="hybridMultilevel"/>
    <w:tmpl w:val="89AC1D80"/>
    <w:lvl w:ilvl="0" w:tplc="0409000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97"/>
    <w:rsid w:val="000034E6"/>
    <w:rsid w:val="0005212D"/>
    <w:rsid w:val="00063F8B"/>
    <w:rsid w:val="000949E1"/>
    <w:rsid w:val="000A4F5C"/>
    <w:rsid w:val="000B7603"/>
    <w:rsid w:val="0011313A"/>
    <w:rsid w:val="00131097"/>
    <w:rsid w:val="001C7FE1"/>
    <w:rsid w:val="001D18B2"/>
    <w:rsid w:val="00225052"/>
    <w:rsid w:val="002A635E"/>
    <w:rsid w:val="002F5A55"/>
    <w:rsid w:val="004242F8"/>
    <w:rsid w:val="00426900"/>
    <w:rsid w:val="00442545"/>
    <w:rsid w:val="004446B7"/>
    <w:rsid w:val="004873C4"/>
    <w:rsid w:val="004E3057"/>
    <w:rsid w:val="005305FE"/>
    <w:rsid w:val="00536413"/>
    <w:rsid w:val="00571E32"/>
    <w:rsid w:val="0059157D"/>
    <w:rsid w:val="005B0F81"/>
    <w:rsid w:val="005B3A9E"/>
    <w:rsid w:val="005C5123"/>
    <w:rsid w:val="005D2272"/>
    <w:rsid w:val="005E3E51"/>
    <w:rsid w:val="005E4B32"/>
    <w:rsid w:val="006336E2"/>
    <w:rsid w:val="00634ACF"/>
    <w:rsid w:val="00640A15"/>
    <w:rsid w:val="0068286C"/>
    <w:rsid w:val="006F32F2"/>
    <w:rsid w:val="006F360F"/>
    <w:rsid w:val="0076240D"/>
    <w:rsid w:val="00766285"/>
    <w:rsid w:val="007A7E16"/>
    <w:rsid w:val="0086790C"/>
    <w:rsid w:val="0087674B"/>
    <w:rsid w:val="008A27E3"/>
    <w:rsid w:val="008B2817"/>
    <w:rsid w:val="008D4B81"/>
    <w:rsid w:val="00910001"/>
    <w:rsid w:val="00922E8F"/>
    <w:rsid w:val="009377EF"/>
    <w:rsid w:val="00947913"/>
    <w:rsid w:val="00976CC1"/>
    <w:rsid w:val="009B05F7"/>
    <w:rsid w:val="009C4E0E"/>
    <w:rsid w:val="009C7FB0"/>
    <w:rsid w:val="00A1455E"/>
    <w:rsid w:val="00A2411F"/>
    <w:rsid w:val="00A41084"/>
    <w:rsid w:val="00A737C5"/>
    <w:rsid w:val="00B34DA6"/>
    <w:rsid w:val="00B6796B"/>
    <w:rsid w:val="00BB7312"/>
    <w:rsid w:val="00C34FAA"/>
    <w:rsid w:val="00C60575"/>
    <w:rsid w:val="00C73115"/>
    <w:rsid w:val="00C82D5B"/>
    <w:rsid w:val="00D34362"/>
    <w:rsid w:val="00D52A6C"/>
    <w:rsid w:val="00DB18F5"/>
    <w:rsid w:val="00DC72AA"/>
    <w:rsid w:val="00DF3E16"/>
    <w:rsid w:val="00E96697"/>
    <w:rsid w:val="00EB0CBD"/>
    <w:rsid w:val="00EC0139"/>
    <w:rsid w:val="00F023B4"/>
    <w:rsid w:val="00F37F3E"/>
    <w:rsid w:val="00F559D8"/>
    <w:rsid w:val="00F57AD6"/>
    <w:rsid w:val="00FD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8ADB29A7B74B27AD2DB2E3FABFF4F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40652EB-8D32-45E2-94F8-C44B701F2D66}"/>
      </w:docPartPr>
      <w:docPartBody>
        <w:p w:rsidR="0052581E" w:rsidRDefault="00F5478A" w:rsidP="00F5478A">
          <w:pPr>
            <w:pStyle w:val="268ADB29A7B74B27AD2DB2E3FABFF4F5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5478A"/>
    <w:rsid w:val="000C398B"/>
    <w:rsid w:val="00470975"/>
    <w:rsid w:val="0052581E"/>
    <w:rsid w:val="00543D97"/>
    <w:rsid w:val="005D1214"/>
    <w:rsid w:val="0068047E"/>
    <w:rsid w:val="0086174C"/>
    <w:rsid w:val="00881C02"/>
    <w:rsid w:val="00C817D0"/>
    <w:rsid w:val="00CC3497"/>
    <w:rsid w:val="00CD3847"/>
    <w:rsid w:val="00D929A8"/>
    <w:rsid w:val="00F54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68ADB29A7B74B27AD2DB2E3FABFF4F5">
    <w:name w:val="268ADB29A7B74B27AD2DB2E3FABFF4F5"/>
    <w:rsid w:val="00F5478A"/>
  </w:style>
  <w:style w:type="paragraph" w:customStyle="1" w:styleId="97CD60D5BDC040A998333C421BB926D1">
    <w:name w:val="97CD60D5BDC040A998333C421BB926D1"/>
    <w:rsid w:val="00F547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การติดตามอาการไม่พึงประสงค์จากการใช้ยา</vt:lpstr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การติดตามอาการไม่พึงประสงค์จากการใช้ยา</dc:title>
  <dc:creator>Windows User</dc:creator>
  <cp:lastModifiedBy>Store_Drug</cp:lastModifiedBy>
  <cp:revision>2</cp:revision>
  <cp:lastPrinted>2016-10-20T13:05:00Z</cp:lastPrinted>
  <dcterms:created xsi:type="dcterms:W3CDTF">2020-05-21T07:26:00Z</dcterms:created>
  <dcterms:modified xsi:type="dcterms:W3CDTF">2020-05-21T07:26:00Z</dcterms:modified>
</cp:coreProperties>
</file>